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78C4" w:rsidRDefault="00EF3EAE" w:rsidP="00EF3EAE">
      <w:pPr>
        <w:pStyle w:val="Jednostka"/>
        <w:tabs>
          <w:tab w:val="left" w:pos="6315"/>
          <w:tab w:val="right" w:pos="8958"/>
        </w:tabs>
        <w:rPr>
          <w:b/>
          <w:sz w:val="24"/>
        </w:rPr>
      </w:pPr>
      <w:r>
        <w:rPr>
          <w:color w:val="000000"/>
        </w:rPr>
        <w:tab/>
      </w:r>
      <w:r>
        <w:rPr>
          <w:color w:val="000000"/>
        </w:rPr>
        <w:tab/>
      </w:r>
      <w:r w:rsidR="00D36A83">
        <w:rPr>
          <w:noProof/>
        </w:rPr>
        <w:drawing>
          <wp:anchor distT="0" distB="0" distL="114300" distR="114300" simplePos="0" relativeHeight="2" behindDoc="0" locked="0" layoutInCell="0" allowOverlap="0" wp14:anchorId="124D3919" wp14:editId="379439C4">
            <wp:simplePos x="0" y="0"/>
            <wp:positionH relativeFrom="column">
              <wp:posOffset>-700405</wp:posOffset>
            </wp:positionH>
            <wp:positionV relativeFrom="paragraph">
              <wp:posOffset>8255</wp:posOffset>
            </wp:positionV>
            <wp:extent cx="1358900" cy="32258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stretch>
                      <a:fillRect/>
                    </a:stretch>
                  </pic:blipFill>
                  <pic:spPr>
                    <a:xfrm>
                      <a:off x="0" y="0"/>
                      <a:ext cx="1358900" cy="322580"/>
                    </a:xfrm>
                    <a:prstGeom prst="rect">
                      <a:avLst/>
                    </a:prstGeom>
                  </pic:spPr>
                </pic:pic>
              </a:graphicData>
            </a:graphic>
          </wp:anchor>
        </w:drawing>
      </w:r>
    </w:p>
    <w:p w:rsidR="00D978C4" w:rsidRDefault="00D978C4">
      <w:pPr>
        <w:pStyle w:val="Jednostka"/>
        <w:rPr>
          <w:b/>
          <w:sz w:val="28"/>
        </w:rPr>
      </w:pPr>
    </w:p>
    <w:p w:rsidR="00D857BF" w:rsidRPr="003D3155" w:rsidRDefault="005E683D" w:rsidP="003D3155">
      <w:pPr>
        <w:pStyle w:val="Jednostka"/>
      </w:pPr>
      <w:r>
        <w:t>Informacja prasowa</w:t>
      </w:r>
    </w:p>
    <w:p w:rsidR="00E17444" w:rsidRDefault="00E17444" w:rsidP="00E17444">
      <w:pPr>
        <w:shd w:val="clear" w:color="auto" w:fill="FFFFFF"/>
        <w:spacing w:before="0" w:beforeAutospacing="0" w:after="0" w:afterAutospacing="0" w:line="293" w:lineRule="atLeast"/>
        <w:outlineLvl w:val="0"/>
        <w:rPr>
          <w:rFonts w:asciiTheme="minorHAnsi" w:hAnsiTheme="minorHAnsi" w:cs="Helvetica"/>
          <w:kern w:val="36"/>
          <w:szCs w:val="24"/>
        </w:rPr>
      </w:pPr>
    </w:p>
    <w:p w:rsidR="003814EA" w:rsidRPr="00B47656" w:rsidRDefault="003814EA" w:rsidP="003814EA">
      <w:pPr>
        <w:spacing w:before="0" w:beforeAutospacing="0" w:after="0" w:afterAutospacing="0"/>
        <w:rPr>
          <w:rFonts w:asciiTheme="minorHAnsi" w:hAnsiTheme="minorHAnsi" w:cstheme="minorHAnsi"/>
          <w:b/>
          <w:bCs/>
          <w:color w:val="auto"/>
          <w:sz w:val="22"/>
          <w:szCs w:val="22"/>
        </w:rPr>
      </w:pPr>
      <w:r w:rsidRPr="00B47656">
        <w:rPr>
          <w:rFonts w:asciiTheme="minorHAnsi" w:hAnsiTheme="minorHAnsi" w:cstheme="minorHAnsi"/>
          <w:b/>
          <w:bCs/>
          <w:color w:val="auto"/>
          <w:sz w:val="22"/>
          <w:szCs w:val="22"/>
        </w:rPr>
        <w:t>Dorabiałeś w ubiegłym roku do renty lub wcześniejszej emerytury? Rozlicz się z ZUS.</w:t>
      </w:r>
    </w:p>
    <w:p w:rsidR="003814EA" w:rsidRPr="00B47656" w:rsidRDefault="003814EA" w:rsidP="003814EA">
      <w:pPr>
        <w:spacing w:before="0" w:beforeAutospacing="0" w:after="0" w:afterAutospacing="0"/>
        <w:rPr>
          <w:rFonts w:asciiTheme="minorHAnsi" w:hAnsiTheme="minorHAnsi" w:cstheme="minorHAnsi"/>
          <w:b/>
          <w:color w:val="auto"/>
          <w:sz w:val="22"/>
          <w:szCs w:val="22"/>
        </w:rPr>
      </w:pPr>
    </w:p>
    <w:p w:rsidR="003814EA" w:rsidRPr="00B47656" w:rsidRDefault="003814EA" w:rsidP="003814EA">
      <w:pPr>
        <w:spacing w:before="0" w:beforeAutospacing="0" w:after="0" w:afterAutospacing="0"/>
        <w:rPr>
          <w:rFonts w:asciiTheme="minorHAnsi" w:hAnsiTheme="minorHAnsi" w:cstheme="minorHAnsi"/>
          <w:b/>
          <w:color w:val="auto"/>
          <w:sz w:val="22"/>
          <w:szCs w:val="22"/>
        </w:rPr>
      </w:pPr>
      <w:bookmarkStart w:id="0" w:name="_GoBack"/>
      <w:bookmarkEnd w:id="0"/>
      <w:r w:rsidRPr="00B47656">
        <w:rPr>
          <w:rFonts w:asciiTheme="minorHAnsi" w:hAnsiTheme="minorHAnsi" w:cstheme="minorHAnsi"/>
          <w:b/>
          <w:color w:val="auto"/>
          <w:sz w:val="22"/>
          <w:szCs w:val="22"/>
        </w:rPr>
        <w:t xml:space="preserve">Renciści i wcześniejsi emeryci, którzy w ubiegłym roku dorabiali do swoich świadczeń, muszą do 28 lutego powiadomić ZUS o dodatkowych przychodach osiągniętych w 2022 r. Informacja ta jest </w:t>
      </w:r>
      <w:r w:rsidR="00BE372D">
        <w:rPr>
          <w:rFonts w:asciiTheme="minorHAnsi" w:hAnsiTheme="minorHAnsi" w:cstheme="minorHAnsi"/>
          <w:b/>
          <w:color w:val="auto"/>
          <w:sz w:val="22"/>
          <w:szCs w:val="22"/>
        </w:rPr>
        <w:t>niezbędna</w:t>
      </w:r>
      <w:r w:rsidRPr="00B47656">
        <w:rPr>
          <w:rFonts w:asciiTheme="minorHAnsi" w:hAnsiTheme="minorHAnsi" w:cstheme="minorHAnsi"/>
          <w:b/>
          <w:color w:val="auto"/>
          <w:sz w:val="22"/>
          <w:szCs w:val="22"/>
        </w:rPr>
        <w:t>, aby ZUS mógł ustalić, czy wypłacał świadczenie w prawidłowej wysokości.</w:t>
      </w:r>
    </w:p>
    <w:p w:rsidR="003814EA" w:rsidRPr="00B47656" w:rsidRDefault="003814EA" w:rsidP="003814EA">
      <w:pPr>
        <w:spacing w:before="0" w:beforeAutospacing="0" w:after="0" w:afterAutospacing="0"/>
        <w:rPr>
          <w:rFonts w:asciiTheme="minorHAnsi" w:hAnsiTheme="minorHAnsi" w:cstheme="minorHAnsi"/>
          <w:b/>
          <w:color w:val="auto"/>
          <w:sz w:val="22"/>
          <w:szCs w:val="22"/>
        </w:rPr>
      </w:pPr>
    </w:p>
    <w:p w:rsidR="003814EA" w:rsidRPr="00B47656" w:rsidRDefault="003814EA" w:rsidP="003814EA">
      <w:pPr>
        <w:spacing w:before="0" w:beforeAutospacing="0" w:after="0" w:afterAutospacing="0"/>
        <w:rPr>
          <w:rFonts w:asciiTheme="minorHAnsi" w:hAnsiTheme="minorHAnsi" w:cstheme="minorHAnsi"/>
          <w:color w:val="auto"/>
          <w:sz w:val="22"/>
          <w:szCs w:val="22"/>
        </w:rPr>
      </w:pPr>
      <w:r w:rsidRPr="00B47656">
        <w:rPr>
          <w:rFonts w:asciiTheme="minorHAnsi" w:hAnsiTheme="minorHAnsi" w:cstheme="minorHAnsi"/>
          <w:color w:val="auto"/>
          <w:sz w:val="22"/>
          <w:szCs w:val="22"/>
        </w:rPr>
        <w:t xml:space="preserve">Chodzi o przychody, od których składki na ubezpieczenia społeczne są obowiązkowe np. z umowy </w:t>
      </w:r>
      <w:r w:rsidRPr="00B47656">
        <w:rPr>
          <w:rFonts w:asciiTheme="minorHAnsi" w:hAnsiTheme="minorHAnsi" w:cstheme="minorHAnsi"/>
          <w:color w:val="auto"/>
          <w:sz w:val="22"/>
          <w:szCs w:val="22"/>
        </w:rPr>
        <w:br/>
        <w:t>o pracę, zlecenia, czy działalności gospodarczej.</w:t>
      </w:r>
      <w:r w:rsidRPr="00B47656">
        <w:rPr>
          <w:color w:val="auto"/>
          <w:sz w:val="22"/>
          <w:szCs w:val="22"/>
        </w:rPr>
        <w:t xml:space="preserve"> </w:t>
      </w:r>
      <w:r w:rsidRPr="00B47656">
        <w:rPr>
          <w:rFonts w:asciiTheme="minorHAnsi" w:hAnsiTheme="minorHAnsi" w:cstheme="minorHAnsi"/>
          <w:color w:val="auto"/>
          <w:sz w:val="22"/>
          <w:szCs w:val="22"/>
        </w:rPr>
        <w:t>Rozliczeniu podlegają również przychody z pracy za granicą, czy z tytułu bycia członkiem rady nadzorczej.</w:t>
      </w:r>
    </w:p>
    <w:p w:rsidR="003814EA" w:rsidRPr="00B47656" w:rsidRDefault="003814EA" w:rsidP="003814EA">
      <w:pPr>
        <w:spacing w:before="0" w:beforeAutospacing="0" w:after="0" w:afterAutospacing="0"/>
        <w:rPr>
          <w:rFonts w:asciiTheme="minorHAnsi" w:hAnsiTheme="minorHAnsi" w:cstheme="minorHAnsi"/>
          <w:b/>
          <w:color w:val="auto"/>
          <w:sz w:val="22"/>
          <w:szCs w:val="22"/>
        </w:rPr>
      </w:pPr>
    </w:p>
    <w:p w:rsidR="003814EA" w:rsidRPr="00B47656" w:rsidRDefault="003814EA" w:rsidP="003814EA">
      <w:pPr>
        <w:pStyle w:val="Jednostka"/>
        <w:jc w:val="both"/>
        <w:rPr>
          <w:rFonts w:asciiTheme="minorHAnsi" w:hAnsiTheme="minorHAnsi" w:cstheme="minorHAnsi"/>
          <w:bCs/>
          <w:color w:val="auto"/>
          <w:sz w:val="22"/>
          <w:szCs w:val="22"/>
        </w:rPr>
      </w:pPr>
      <w:r w:rsidRPr="00BE372D">
        <w:rPr>
          <w:rFonts w:asciiTheme="minorHAnsi" w:hAnsiTheme="minorHAnsi" w:cstheme="minorHAnsi"/>
          <w:i/>
          <w:color w:val="auto"/>
          <w:sz w:val="22"/>
          <w:szCs w:val="22"/>
        </w:rPr>
        <w:t xml:space="preserve">Renciści i emeryci, którzy nie ukończyli powszechnego wieku emerytalnego </w:t>
      </w:r>
      <w:r w:rsidRPr="00BE372D">
        <w:rPr>
          <w:rFonts w:asciiTheme="minorHAnsi" w:hAnsiTheme="minorHAnsi" w:cstheme="minorHAnsi"/>
          <w:bCs/>
          <w:i/>
          <w:color w:val="auto"/>
          <w:sz w:val="22"/>
          <w:szCs w:val="22"/>
        </w:rPr>
        <w:t xml:space="preserve">(60 lat kobieta/65 lat mężczyzna), a osiągnęli w zeszłym roku dodatkowy przychód, są zobowiązani do końca lutego dostarczyć do ZUS zaświadczenie z zakładu pracy o swoich przychodach z 2022 roku, najlepiej </w:t>
      </w:r>
      <w:r w:rsidRPr="00BE372D">
        <w:rPr>
          <w:rFonts w:asciiTheme="minorHAnsi" w:hAnsiTheme="minorHAnsi" w:cstheme="minorHAnsi"/>
          <w:bCs/>
          <w:i/>
          <w:color w:val="auto"/>
          <w:sz w:val="22"/>
          <w:szCs w:val="22"/>
        </w:rPr>
        <w:br/>
        <w:t>w rozbiciu na poszczególne miesiące. Osoby, które prowadzą własną działalność gospodarczą, składają samodzielne oświadczenie. Ich przychodem jest deklarowana podstawa wymiaru składek na ubezpieczenia społeczne</w:t>
      </w:r>
      <w:r w:rsidR="00BE372D">
        <w:rPr>
          <w:rFonts w:asciiTheme="minorHAnsi" w:hAnsiTheme="minorHAnsi" w:cstheme="minorHAnsi"/>
          <w:bCs/>
          <w:color w:val="auto"/>
          <w:sz w:val="22"/>
          <w:szCs w:val="22"/>
        </w:rPr>
        <w:t xml:space="preserve"> – informuje Marlena Nowicka – rzeczniczka prasowa ZUS w Wielkopolsce.</w:t>
      </w:r>
    </w:p>
    <w:p w:rsidR="003814EA" w:rsidRPr="00B47656" w:rsidRDefault="003814EA" w:rsidP="003814EA">
      <w:pPr>
        <w:pStyle w:val="Jednostka"/>
        <w:jc w:val="both"/>
        <w:rPr>
          <w:rFonts w:asciiTheme="minorHAnsi" w:hAnsiTheme="minorHAnsi" w:cstheme="minorHAnsi"/>
          <w:bCs/>
          <w:color w:val="auto"/>
          <w:sz w:val="22"/>
          <w:szCs w:val="22"/>
        </w:rPr>
      </w:pPr>
    </w:p>
    <w:p w:rsidR="003814EA" w:rsidRPr="00B47656" w:rsidRDefault="003814EA" w:rsidP="003814EA">
      <w:pPr>
        <w:pStyle w:val="Jednostka"/>
        <w:jc w:val="both"/>
        <w:rPr>
          <w:rFonts w:asciiTheme="minorHAnsi" w:hAnsiTheme="minorHAnsi" w:cstheme="minorHAnsi"/>
          <w:color w:val="auto"/>
          <w:sz w:val="22"/>
          <w:szCs w:val="22"/>
        </w:rPr>
      </w:pPr>
      <w:r w:rsidRPr="00B47656">
        <w:rPr>
          <w:rFonts w:asciiTheme="minorHAnsi" w:hAnsiTheme="minorHAnsi" w:cstheme="minorHAnsi"/>
          <w:color w:val="auto"/>
          <w:sz w:val="22"/>
          <w:szCs w:val="22"/>
        </w:rPr>
        <w:t xml:space="preserve">Informacja ta jest potrzebna, aby ZUS mógł ustalić, czy w ubiegłym roku wypłacał świadczenie we właściwej wysokości, ponieważ wcześniejszych emerytów i rencistów obowiązują limity </w:t>
      </w:r>
      <w:r w:rsidRPr="00B47656">
        <w:rPr>
          <w:rFonts w:asciiTheme="minorHAnsi" w:hAnsiTheme="minorHAnsi" w:cstheme="minorHAnsi"/>
          <w:color w:val="auto"/>
          <w:sz w:val="22"/>
          <w:szCs w:val="22"/>
        </w:rPr>
        <w:br/>
        <w:t xml:space="preserve">w dorabianiu do świadczeń. ZUS może zmniejszyć wypłacaną emeryturę lub rentę, gdy przychód </w:t>
      </w:r>
      <w:r w:rsidRPr="00B47656">
        <w:rPr>
          <w:rFonts w:asciiTheme="minorHAnsi" w:hAnsiTheme="minorHAnsi" w:cstheme="minorHAnsi"/>
          <w:color w:val="auto"/>
          <w:sz w:val="22"/>
          <w:szCs w:val="22"/>
        </w:rPr>
        <w:br/>
        <w:t xml:space="preserve">z dodatkowych źródeł przekroczy 70 proc. przeciętnego miesięcznego wynagrodzenia. Wypłata świadczenia może być również zawieszona, jeśli przekroczenie będzie wyższe niż 130 proc. przeciętnego wynagrodzenia. </w:t>
      </w:r>
    </w:p>
    <w:p w:rsidR="003814EA" w:rsidRPr="00455F21" w:rsidRDefault="003814EA" w:rsidP="003814EA">
      <w:pPr>
        <w:pStyle w:val="Jednostka"/>
        <w:jc w:val="both"/>
        <w:rPr>
          <w:rFonts w:asciiTheme="minorHAnsi" w:hAnsiTheme="minorHAnsi" w:cstheme="minorHAnsi"/>
          <w:color w:val="auto"/>
          <w:sz w:val="22"/>
          <w:szCs w:val="22"/>
        </w:rPr>
      </w:pPr>
    </w:p>
    <w:p w:rsidR="003814EA" w:rsidRPr="00455F21" w:rsidRDefault="003814EA" w:rsidP="003814EA">
      <w:pPr>
        <w:pStyle w:val="Jednostka"/>
        <w:jc w:val="both"/>
        <w:rPr>
          <w:rFonts w:asciiTheme="minorHAnsi" w:hAnsiTheme="minorHAnsi" w:cstheme="minorHAnsi"/>
          <w:color w:val="auto"/>
          <w:sz w:val="22"/>
          <w:szCs w:val="22"/>
        </w:rPr>
      </w:pPr>
      <w:r w:rsidRPr="00BE372D">
        <w:rPr>
          <w:rFonts w:asciiTheme="minorHAnsi" w:hAnsiTheme="minorHAnsi" w:cstheme="minorHAnsi"/>
          <w:i/>
          <w:color w:val="auto"/>
          <w:sz w:val="22"/>
          <w:szCs w:val="22"/>
        </w:rPr>
        <w:t xml:space="preserve">Aby ZUS mógł rozliczyć świadczenia w najkorzystniejszy sposób (rocznie lub miesięcznie), warto przedłożyć zaświadczenie o kwocie zarobków osiągniętych w poszczególnych miesiącach. </w:t>
      </w:r>
      <w:r w:rsidRPr="00BE372D">
        <w:rPr>
          <w:rFonts w:asciiTheme="minorHAnsi" w:hAnsiTheme="minorHAnsi" w:cstheme="minorHAnsi"/>
          <w:i/>
          <w:color w:val="auto"/>
          <w:sz w:val="22"/>
          <w:szCs w:val="22"/>
        </w:rPr>
        <w:br/>
        <w:t xml:space="preserve">Na podstawie tych dokumentów ZUS porówna przychód z granicznymi kwotami przychodu dla </w:t>
      </w:r>
      <w:r w:rsidRPr="00BE372D">
        <w:rPr>
          <w:rFonts w:asciiTheme="minorHAnsi" w:hAnsiTheme="minorHAnsi" w:cstheme="minorHAnsi"/>
          <w:i/>
          <w:color w:val="auto"/>
          <w:sz w:val="22"/>
          <w:szCs w:val="22"/>
        </w:rPr>
        <w:br/>
        <w:t>2022 r. albo kwotami przychodu dla poszczególnych miesięcy</w:t>
      </w:r>
      <w:r w:rsidRPr="00455F21">
        <w:rPr>
          <w:rFonts w:asciiTheme="minorHAnsi" w:hAnsiTheme="minorHAnsi" w:cstheme="minorHAnsi"/>
          <w:color w:val="auto"/>
          <w:sz w:val="22"/>
          <w:szCs w:val="22"/>
        </w:rPr>
        <w:t xml:space="preserve"> – dodaje rzeczniczka.</w:t>
      </w:r>
    </w:p>
    <w:p w:rsidR="003814EA" w:rsidRPr="004C15AA" w:rsidRDefault="003814EA" w:rsidP="003814EA">
      <w:pPr>
        <w:pStyle w:val="Jednostka"/>
        <w:jc w:val="both"/>
        <w:rPr>
          <w:rFonts w:asciiTheme="minorHAnsi" w:hAnsiTheme="minorHAnsi" w:cstheme="minorHAnsi"/>
          <w:color w:val="auto"/>
          <w:sz w:val="24"/>
          <w:szCs w:val="24"/>
        </w:rPr>
      </w:pPr>
    </w:p>
    <w:p w:rsidR="003814EA" w:rsidRDefault="003814EA" w:rsidP="003814EA">
      <w:pPr>
        <w:spacing w:before="0" w:beforeAutospacing="0" w:after="0" w:afterAutospacing="0"/>
        <w:rPr>
          <w:rFonts w:asciiTheme="minorHAnsi" w:hAnsiTheme="minorHAnsi" w:cstheme="minorHAnsi"/>
          <w:b/>
          <w:szCs w:val="24"/>
        </w:rPr>
      </w:pPr>
      <w:r w:rsidRPr="004C15AA">
        <w:rPr>
          <w:rFonts w:asciiTheme="minorHAnsi" w:hAnsiTheme="minorHAnsi" w:cstheme="minorHAnsi"/>
          <w:b/>
          <w:szCs w:val="24"/>
        </w:rPr>
        <w:t>Ile mogliśmy zarobić w ubiegłym roku</w:t>
      </w:r>
    </w:p>
    <w:p w:rsidR="003814EA" w:rsidRDefault="003814EA" w:rsidP="003814EA">
      <w:pPr>
        <w:spacing w:before="0" w:beforeAutospacing="0" w:after="0" w:afterAutospacing="0"/>
        <w:rPr>
          <w:rFonts w:asciiTheme="minorHAnsi" w:hAnsiTheme="minorHAnsi" w:cstheme="minorHAnsi"/>
          <w:b/>
          <w:szCs w:val="24"/>
        </w:rPr>
      </w:pPr>
    </w:p>
    <w:tbl>
      <w:tblPr>
        <w:tblW w:w="8720" w:type="dxa"/>
        <w:tblInd w:w="55" w:type="dxa"/>
        <w:tblCellMar>
          <w:left w:w="70" w:type="dxa"/>
          <w:right w:w="70" w:type="dxa"/>
        </w:tblCellMar>
        <w:tblLook w:val="04A0" w:firstRow="1" w:lastRow="0" w:firstColumn="1" w:lastColumn="0" w:noHBand="0" w:noVBand="1"/>
      </w:tblPr>
      <w:tblGrid>
        <w:gridCol w:w="3660"/>
        <w:gridCol w:w="1820"/>
        <w:gridCol w:w="3240"/>
      </w:tblGrid>
      <w:tr w:rsidR="003814EA" w:rsidRPr="00731250" w:rsidTr="006C3186">
        <w:trPr>
          <w:trHeight w:val="1170"/>
        </w:trPr>
        <w:tc>
          <w:tcPr>
            <w:tcW w:w="36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814EA" w:rsidRPr="00731250" w:rsidRDefault="003814EA" w:rsidP="006C3186">
            <w:pPr>
              <w:spacing w:before="0" w:beforeAutospacing="0" w:after="0" w:afterAutospacing="0"/>
              <w:jc w:val="center"/>
              <w:rPr>
                <w:rFonts w:cs="Calibri"/>
                <w:b/>
                <w:bCs/>
                <w:sz w:val="22"/>
                <w:szCs w:val="22"/>
              </w:rPr>
            </w:pPr>
            <w:r w:rsidRPr="00731250">
              <w:rPr>
                <w:rFonts w:cs="Calibri"/>
                <w:b/>
                <w:bCs/>
                <w:sz w:val="22"/>
                <w:szCs w:val="22"/>
              </w:rPr>
              <w:t>Okres</w:t>
            </w:r>
          </w:p>
        </w:tc>
        <w:tc>
          <w:tcPr>
            <w:tcW w:w="1820" w:type="dxa"/>
            <w:tcBorders>
              <w:top w:val="single" w:sz="8" w:space="0" w:color="auto"/>
              <w:left w:val="nil"/>
              <w:bottom w:val="single" w:sz="8" w:space="0" w:color="auto"/>
              <w:right w:val="single" w:sz="8" w:space="0" w:color="auto"/>
            </w:tcBorders>
            <w:shd w:val="clear" w:color="auto" w:fill="auto"/>
            <w:vAlign w:val="center"/>
            <w:hideMark/>
          </w:tcPr>
          <w:p w:rsidR="003814EA" w:rsidRPr="00731250" w:rsidRDefault="003814EA" w:rsidP="006C3186">
            <w:pPr>
              <w:spacing w:before="0" w:beforeAutospacing="0" w:after="0" w:afterAutospacing="0"/>
              <w:jc w:val="center"/>
              <w:rPr>
                <w:rFonts w:cs="Calibri"/>
                <w:b/>
                <w:bCs/>
                <w:sz w:val="22"/>
                <w:szCs w:val="22"/>
              </w:rPr>
            </w:pPr>
            <w:r w:rsidRPr="00731250">
              <w:rPr>
                <w:rFonts w:cs="Calibri"/>
                <w:b/>
                <w:bCs/>
                <w:sz w:val="22"/>
                <w:szCs w:val="22"/>
              </w:rPr>
              <w:t>Kwoty równe 70% przeciętnego miesięcznego wynagrodzenia</w:t>
            </w:r>
          </w:p>
        </w:tc>
        <w:tc>
          <w:tcPr>
            <w:tcW w:w="3240" w:type="dxa"/>
            <w:tcBorders>
              <w:top w:val="single" w:sz="8" w:space="0" w:color="auto"/>
              <w:left w:val="nil"/>
              <w:bottom w:val="single" w:sz="8" w:space="0" w:color="auto"/>
              <w:right w:val="single" w:sz="8" w:space="0" w:color="auto"/>
            </w:tcBorders>
            <w:shd w:val="clear" w:color="auto" w:fill="auto"/>
            <w:vAlign w:val="center"/>
            <w:hideMark/>
          </w:tcPr>
          <w:p w:rsidR="003814EA" w:rsidRPr="00731250" w:rsidRDefault="003814EA" w:rsidP="006C3186">
            <w:pPr>
              <w:spacing w:before="0" w:beforeAutospacing="0" w:after="0" w:afterAutospacing="0"/>
              <w:jc w:val="center"/>
              <w:rPr>
                <w:rFonts w:cs="Calibri"/>
                <w:b/>
                <w:bCs/>
                <w:sz w:val="22"/>
                <w:szCs w:val="22"/>
              </w:rPr>
            </w:pPr>
            <w:r w:rsidRPr="00731250">
              <w:rPr>
                <w:rFonts w:cs="Calibri"/>
                <w:b/>
                <w:bCs/>
                <w:sz w:val="22"/>
                <w:szCs w:val="22"/>
              </w:rPr>
              <w:t>Kwoty równe 130 % przeciętnego miesięcznego wynagrodzenia</w:t>
            </w:r>
          </w:p>
        </w:tc>
      </w:tr>
      <w:tr w:rsidR="003814EA" w:rsidRPr="00731250" w:rsidTr="006C3186">
        <w:trPr>
          <w:trHeight w:val="300"/>
        </w:trPr>
        <w:tc>
          <w:tcPr>
            <w:tcW w:w="3660" w:type="dxa"/>
            <w:tcBorders>
              <w:top w:val="nil"/>
              <w:left w:val="single" w:sz="8" w:space="0" w:color="auto"/>
              <w:bottom w:val="single" w:sz="8" w:space="0" w:color="auto"/>
              <w:right w:val="single" w:sz="8" w:space="0" w:color="auto"/>
            </w:tcBorders>
            <w:shd w:val="clear" w:color="auto" w:fill="auto"/>
            <w:noWrap/>
            <w:vAlign w:val="center"/>
            <w:hideMark/>
          </w:tcPr>
          <w:p w:rsidR="003814EA" w:rsidRPr="00731250" w:rsidRDefault="003814EA" w:rsidP="006C3186">
            <w:pPr>
              <w:spacing w:before="0" w:beforeAutospacing="0" w:after="0" w:afterAutospacing="0"/>
              <w:jc w:val="left"/>
              <w:rPr>
                <w:rFonts w:cs="Calibri"/>
                <w:sz w:val="22"/>
                <w:szCs w:val="22"/>
              </w:rPr>
            </w:pPr>
            <w:r w:rsidRPr="00731250">
              <w:rPr>
                <w:rFonts w:cs="Calibri"/>
                <w:sz w:val="22"/>
                <w:szCs w:val="22"/>
              </w:rPr>
              <w:t>1-2/2022</w:t>
            </w:r>
          </w:p>
        </w:tc>
        <w:tc>
          <w:tcPr>
            <w:tcW w:w="1820" w:type="dxa"/>
            <w:tcBorders>
              <w:top w:val="nil"/>
              <w:left w:val="nil"/>
              <w:bottom w:val="single" w:sz="8" w:space="0" w:color="auto"/>
              <w:right w:val="single" w:sz="8" w:space="0" w:color="auto"/>
            </w:tcBorders>
            <w:shd w:val="clear" w:color="auto" w:fill="auto"/>
            <w:noWrap/>
            <w:vAlign w:val="center"/>
            <w:hideMark/>
          </w:tcPr>
          <w:p w:rsidR="003814EA" w:rsidRPr="00731250" w:rsidRDefault="003814EA" w:rsidP="006C3186">
            <w:pPr>
              <w:spacing w:before="0" w:beforeAutospacing="0" w:after="0" w:afterAutospacing="0"/>
              <w:jc w:val="right"/>
              <w:rPr>
                <w:rFonts w:cs="Calibri"/>
                <w:sz w:val="22"/>
                <w:szCs w:val="22"/>
              </w:rPr>
            </w:pPr>
            <w:r w:rsidRPr="00731250">
              <w:rPr>
                <w:rFonts w:cs="Calibri"/>
                <w:sz w:val="22"/>
                <w:szCs w:val="22"/>
              </w:rPr>
              <w:t>3 960,20 zł</w:t>
            </w:r>
          </w:p>
        </w:tc>
        <w:tc>
          <w:tcPr>
            <w:tcW w:w="3240" w:type="dxa"/>
            <w:tcBorders>
              <w:top w:val="nil"/>
              <w:left w:val="nil"/>
              <w:bottom w:val="single" w:sz="8" w:space="0" w:color="auto"/>
              <w:right w:val="single" w:sz="8" w:space="0" w:color="auto"/>
            </w:tcBorders>
            <w:shd w:val="clear" w:color="auto" w:fill="auto"/>
            <w:noWrap/>
            <w:vAlign w:val="center"/>
            <w:hideMark/>
          </w:tcPr>
          <w:p w:rsidR="003814EA" w:rsidRPr="00731250" w:rsidRDefault="003814EA" w:rsidP="006C3186">
            <w:pPr>
              <w:spacing w:before="0" w:beforeAutospacing="0" w:after="0" w:afterAutospacing="0"/>
              <w:jc w:val="right"/>
              <w:rPr>
                <w:rFonts w:cs="Calibri"/>
                <w:sz w:val="22"/>
                <w:szCs w:val="22"/>
              </w:rPr>
            </w:pPr>
            <w:r w:rsidRPr="00731250">
              <w:rPr>
                <w:rFonts w:cs="Calibri"/>
                <w:sz w:val="22"/>
                <w:szCs w:val="22"/>
              </w:rPr>
              <w:t>7 354,50 zł</w:t>
            </w:r>
          </w:p>
        </w:tc>
      </w:tr>
      <w:tr w:rsidR="003814EA" w:rsidRPr="00731250" w:rsidTr="006C3186">
        <w:trPr>
          <w:trHeight w:val="300"/>
        </w:trPr>
        <w:tc>
          <w:tcPr>
            <w:tcW w:w="3660" w:type="dxa"/>
            <w:tcBorders>
              <w:top w:val="nil"/>
              <w:left w:val="single" w:sz="8" w:space="0" w:color="auto"/>
              <w:bottom w:val="single" w:sz="8" w:space="0" w:color="auto"/>
              <w:right w:val="single" w:sz="8" w:space="0" w:color="auto"/>
            </w:tcBorders>
            <w:shd w:val="clear" w:color="auto" w:fill="auto"/>
            <w:noWrap/>
            <w:vAlign w:val="center"/>
            <w:hideMark/>
          </w:tcPr>
          <w:p w:rsidR="003814EA" w:rsidRPr="00731250" w:rsidRDefault="003814EA" w:rsidP="006C3186">
            <w:pPr>
              <w:spacing w:before="0" w:beforeAutospacing="0" w:after="0" w:afterAutospacing="0"/>
              <w:jc w:val="left"/>
              <w:rPr>
                <w:rFonts w:cs="Calibri"/>
                <w:sz w:val="22"/>
                <w:szCs w:val="22"/>
              </w:rPr>
            </w:pPr>
            <w:r w:rsidRPr="00731250">
              <w:rPr>
                <w:rFonts w:cs="Calibri"/>
                <w:sz w:val="22"/>
                <w:szCs w:val="22"/>
              </w:rPr>
              <w:t>3-5/2022</w:t>
            </w:r>
          </w:p>
        </w:tc>
        <w:tc>
          <w:tcPr>
            <w:tcW w:w="1820" w:type="dxa"/>
            <w:tcBorders>
              <w:top w:val="nil"/>
              <w:left w:val="nil"/>
              <w:bottom w:val="single" w:sz="8" w:space="0" w:color="auto"/>
              <w:right w:val="single" w:sz="8" w:space="0" w:color="auto"/>
            </w:tcBorders>
            <w:shd w:val="clear" w:color="auto" w:fill="auto"/>
            <w:noWrap/>
            <w:vAlign w:val="center"/>
            <w:hideMark/>
          </w:tcPr>
          <w:p w:rsidR="003814EA" w:rsidRPr="00731250" w:rsidRDefault="003814EA" w:rsidP="006C3186">
            <w:pPr>
              <w:spacing w:before="0" w:beforeAutospacing="0" w:after="0" w:afterAutospacing="0"/>
              <w:jc w:val="right"/>
              <w:rPr>
                <w:rFonts w:cs="Calibri"/>
                <w:sz w:val="22"/>
                <w:szCs w:val="22"/>
              </w:rPr>
            </w:pPr>
            <w:r w:rsidRPr="00731250">
              <w:rPr>
                <w:rFonts w:cs="Calibri"/>
                <w:sz w:val="22"/>
                <w:szCs w:val="22"/>
              </w:rPr>
              <w:t>4 196,60 zł</w:t>
            </w:r>
          </w:p>
        </w:tc>
        <w:tc>
          <w:tcPr>
            <w:tcW w:w="3240" w:type="dxa"/>
            <w:tcBorders>
              <w:top w:val="nil"/>
              <w:left w:val="nil"/>
              <w:bottom w:val="single" w:sz="8" w:space="0" w:color="auto"/>
              <w:right w:val="single" w:sz="8" w:space="0" w:color="auto"/>
            </w:tcBorders>
            <w:shd w:val="clear" w:color="auto" w:fill="auto"/>
            <w:noWrap/>
            <w:vAlign w:val="center"/>
            <w:hideMark/>
          </w:tcPr>
          <w:p w:rsidR="003814EA" w:rsidRPr="00731250" w:rsidRDefault="003814EA" w:rsidP="006C3186">
            <w:pPr>
              <w:spacing w:before="0" w:beforeAutospacing="0" w:after="0" w:afterAutospacing="0"/>
              <w:jc w:val="right"/>
              <w:rPr>
                <w:rFonts w:cs="Calibri"/>
                <w:sz w:val="22"/>
                <w:szCs w:val="22"/>
              </w:rPr>
            </w:pPr>
            <w:r w:rsidRPr="00731250">
              <w:rPr>
                <w:rFonts w:cs="Calibri"/>
                <w:sz w:val="22"/>
                <w:szCs w:val="22"/>
              </w:rPr>
              <w:t>7 793,70 zł</w:t>
            </w:r>
          </w:p>
        </w:tc>
      </w:tr>
      <w:tr w:rsidR="003814EA" w:rsidRPr="00731250" w:rsidTr="006C3186">
        <w:trPr>
          <w:trHeight w:val="300"/>
        </w:trPr>
        <w:tc>
          <w:tcPr>
            <w:tcW w:w="3660" w:type="dxa"/>
            <w:tcBorders>
              <w:top w:val="nil"/>
              <w:left w:val="single" w:sz="8" w:space="0" w:color="auto"/>
              <w:bottom w:val="single" w:sz="8" w:space="0" w:color="auto"/>
              <w:right w:val="single" w:sz="8" w:space="0" w:color="auto"/>
            </w:tcBorders>
            <w:shd w:val="clear" w:color="auto" w:fill="auto"/>
            <w:noWrap/>
            <w:vAlign w:val="center"/>
            <w:hideMark/>
          </w:tcPr>
          <w:p w:rsidR="003814EA" w:rsidRPr="00731250" w:rsidRDefault="003814EA" w:rsidP="006C3186">
            <w:pPr>
              <w:spacing w:before="0" w:beforeAutospacing="0" w:after="0" w:afterAutospacing="0"/>
              <w:jc w:val="left"/>
              <w:rPr>
                <w:rFonts w:cs="Calibri"/>
                <w:sz w:val="22"/>
                <w:szCs w:val="22"/>
              </w:rPr>
            </w:pPr>
            <w:r w:rsidRPr="00731250">
              <w:rPr>
                <w:rFonts w:cs="Calibri"/>
                <w:sz w:val="22"/>
                <w:szCs w:val="22"/>
              </w:rPr>
              <w:t>6-8/2022</w:t>
            </w:r>
          </w:p>
        </w:tc>
        <w:tc>
          <w:tcPr>
            <w:tcW w:w="1820" w:type="dxa"/>
            <w:tcBorders>
              <w:top w:val="nil"/>
              <w:left w:val="nil"/>
              <w:bottom w:val="single" w:sz="8" w:space="0" w:color="auto"/>
              <w:right w:val="single" w:sz="8" w:space="0" w:color="auto"/>
            </w:tcBorders>
            <w:shd w:val="clear" w:color="auto" w:fill="auto"/>
            <w:noWrap/>
            <w:vAlign w:val="center"/>
            <w:hideMark/>
          </w:tcPr>
          <w:p w:rsidR="003814EA" w:rsidRPr="00731250" w:rsidRDefault="003814EA" w:rsidP="006C3186">
            <w:pPr>
              <w:spacing w:before="0" w:beforeAutospacing="0" w:after="0" w:afterAutospacing="0"/>
              <w:jc w:val="right"/>
              <w:rPr>
                <w:rFonts w:cs="Calibri"/>
                <w:sz w:val="22"/>
                <w:szCs w:val="22"/>
              </w:rPr>
            </w:pPr>
            <w:r w:rsidRPr="00731250">
              <w:rPr>
                <w:rFonts w:cs="Calibri"/>
                <w:sz w:val="22"/>
                <w:szCs w:val="22"/>
              </w:rPr>
              <w:t>4 364,70 zł</w:t>
            </w:r>
          </w:p>
        </w:tc>
        <w:tc>
          <w:tcPr>
            <w:tcW w:w="3240" w:type="dxa"/>
            <w:tcBorders>
              <w:top w:val="nil"/>
              <w:left w:val="nil"/>
              <w:bottom w:val="single" w:sz="8" w:space="0" w:color="auto"/>
              <w:right w:val="single" w:sz="8" w:space="0" w:color="auto"/>
            </w:tcBorders>
            <w:shd w:val="clear" w:color="auto" w:fill="auto"/>
            <w:noWrap/>
            <w:vAlign w:val="center"/>
            <w:hideMark/>
          </w:tcPr>
          <w:p w:rsidR="003814EA" w:rsidRPr="00731250" w:rsidRDefault="003814EA" w:rsidP="006C3186">
            <w:pPr>
              <w:spacing w:before="0" w:beforeAutospacing="0" w:after="0" w:afterAutospacing="0"/>
              <w:jc w:val="right"/>
              <w:rPr>
                <w:rFonts w:cs="Calibri"/>
                <w:sz w:val="22"/>
                <w:szCs w:val="22"/>
              </w:rPr>
            </w:pPr>
            <w:r w:rsidRPr="00731250">
              <w:rPr>
                <w:rFonts w:cs="Calibri"/>
                <w:sz w:val="22"/>
                <w:szCs w:val="22"/>
              </w:rPr>
              <w:t>8 105,80 zł</w:t>
            </w:r>
          </w:p>
        </w:tc>
      </w:tr>
      <w:tr w:rsidR="003814EA" w:rsidRPr="00731250" w:rsidTr="006C3186">
        <w:trPr>
          <w:trHeight w:val="300"/>
        </w:trPr>
        <w:tc>
          <w:tcPr>
            <w:tcW w:w="3660" w:type="dxa"/>
            <w:tcBorders>
              <w:top w:val="nil"/>
              <w:left w:val="single" w:sz="8" w:space="0" w:color="auto"/>
              <w:bottom w:val="single" w:sz="8" w:space="0" w:color="auto"/>
              <w:right w:val="single" w:sz="8" w:space="0" w:color="auto"/>
            </w:tcBorders>
            <w:shd w:val="clear" w:color="auto" w:fill="auto"/>
            <w:noWrap/>
            <w:vAlign w:val="center"/>
            <w:hideMark/>
          </w:tcPr>
          <w:p w:rsidR="003814EA" w:rsidRPr="00731250" w:rsidRDefault="003814EA" w:rsidP="006C3186">
            <w:pPr>
              <w:spacing w:before="0" w:beforeAutospacing="0" w:after="0" w:afterAutospacing="0"/>
              <w:jc w:val="left"/>
              <w:rPr>
                <w:rFonts w:cs="Calibri"/>
                <w:sz w:val="22"/>
                <w:szCs w:val="22"/>
              </w:rPr>
            </w:pPr>
            <w:r w:rsidRPr="00731250">
              <w:rPr>
                <w:rFonts w:cs="Calibri"/>
                <w:sz w:val="22"/>
                <w:szCs w:val="22"/>
              </w:rPr>
              <w:t>9-11/2022</w:t>
            </w:r>
          </w:p>
        </w:tc>
        <w:tc>
          <w:tcPr>
            <w:tcW w:w="1820" w:type="dxa"/>
            <w:tcBorders>
              <w:top w:val="nil"/>
              <w:left w:val="nil"/>
              <w:bottom w:val="single" w:sz="8" w:space="0" w:color="auto"/>
              <w:right w:val="single" w:sz="8" w:space="0" w:color="auto"/>
            </w:tcBorders>
            <w:shd w:val="clear" w:color="auto" w:fill="auto"/>
            <w:noWrap/>
            <w:vAlign w:val="center"/>
            <w:hideMark/>
          </w:tcPr>
          <w:p w:rsidR="003814EA" w:rsidRPr="00731250" w:rsidRDefault="003814EA" w:rsidP="006C3186">
            <w:pPr>
              <w:spacing w:before="0" w:beforeAutospacing="0" w:after="0" w:afterAutospacing="0"/>
              <w:jc w:val="right"/>
              <w:rPr>
                <w:rFonts w:cs="Calibri"/>
                <w:sz w:val="22"/>
                <w:szCs w:val="22"/>
              </w:rPr>
            </w:pPr>
            <w:r w:rsidRPr="00731250">
              <w:rPr>
                <w:rFonts w:cs="Calibri"/>
                <w:sz w:val="22"/>
                <w:szCs w:val="22"/>
              </w:rPr>
              <w:t>4 309,40 zł</w:t>
            </w:r>
          </w:p>
        </w:tc>
        <w:tc>
          <w:tcPr>
            <w:tcW w:w="3240" w:type="dxa"/>
            <w:tcBorders>
              <w:top w:val="nil"/>
              <w:left w:val="nil"/>
              <w:bottom w:val="single" w:sz="8" w:space="0" w:color="auto"/>
              <w:right w:val="single" w:sz="8" w:space="0" w:color="auto"/>
            </w:tcBorders>
            <w:shd w:val="clear" w:color="auto" w:fill="auto"/>
            <w:noWrap/>
            <w:vAlign w:val="center"/>
            <w:hideMark/>
          </w:tcPr>
          <w:p w:rsidR="003814EA" w:rsidRPr="00731250" w:rsidRDefault="003814EA" w:rsidP="006C3186">
            <w:pPr>
              <w:spacing w:before="0" w:beforeAutospacing="0" w:after="0" w:afterAutospacing="0"/>
              <w:jc w:val="right"/>
              <w:rPr>
                <w:rFonts w:cs="Calibri"/>
                <w:sz w:val="22"/>
                <w:szCs w:val="22"/>
              </w:rPr>
            </w:pPr>
            <w:r w:rsidRPr="00731250">
              <w:rPr>
                <w:rFonts w:cs="Calibri"/>
                <w:sz w:val="22"/>
                <w:szCs w:val="22"/>
              </w:rPr>
              <w:t>8 003,20 zł</w:t>
            </w:r>
          </w:p>
        </w:tc>
      </w:tr>
      <w:tr w:rsidR="003814EA" w:rsidRPr="00731250" w:rsidTr="006C3186">
        <w:trPr>
          <w:trHeight w:val="300"/>
        </w:trPr>
        <w:tc>
          <w:tcPr>
            <w:tcW w:w="3660" w:type="dxa"/>
            <w:tcBorders>
              <w:top w:val="nil"/>
              <w:left w:val="single" w:sz="8" w:space="0" w:color="auto"/>
              <w:bottom w:val="single" w:sz="8" w:space="0" w:color="auto"/>
              <w:right w:val="single" w:sz="8" w:space="0" w:color="auto"/>
            </w:tcBorders>
            <w:shd w:val="clear" w:color="auto" w:fill="auto"/>
            <w:noWrap/>
            <w:vAlign w:val="center"/>
            <w:hideMark/>
          </w:tcPr>
          <w:p w:rsidR="003814EA" w:rsidRPr="00731250" w:rsidRDefault="003814EA" w:rsidP="006C3186">
            <w:pPr>
              <w:spacing w:before="0" w:beforeAutospacing="0" w:after="0" w:afterAutospacing="0"/>
              <w:jc w:val="left"/>
              <w:rPr>
                <w:rFonts w:cs="Calibri"/>
                <w:sz w:val="22"/>
                <w:szCs w:val="22"/>
              </w:rPr>
            </w:pPr>
            <w:r w:rsidRPr="00731250">
              <w:rPr>
                <w:rFonts w:cs="Calibri"/>
                <w:sz w:val="22"/>
                <w:szCs w:val="22"/>
              </w:rPr>
              <w:t>12/2022</w:t>
            </w:r>
          </w:p>
        </w:tc>
        <w:tc>
          <w:tcPr>
            <w:tcW w:w="1820" w:type="dxa"/>
            <w:tcBorders>
              <w:top w:val="nil"/>
              <w:left w:val="nil"/>
              <w:bottom w:val="single" w:sz="8" w:space="0" w:color="auto"/>
              <w:right w:val="single" w:sz="8" w:space="0" w:color="auto"/>
            </w:tcBorders>
            <w:shd w:val="clear" w:color="auto" w:fill="auto"/>
            <w:noWrap/>
            <w:vAlign w:val="center"/>
            <w:hideMark/>
          </w:tcPr>
          <w:p w:rsidR="003814EA" w:rsidRPr="00731250" w:rsidRDefault="003814EA" w:rsidP="006C3186">
            <w:pPr>
              <w:spacing w:before="0" w:beforeAutospacing="0" w:after="0" w:afterAutospacing="0"/>
              <w:jc w:val="right"/>
              <w:rPr>
                <w:rFonts w:cs="Calibri"/>
                <w:sz w:val="22"/>
                <w:szCs w:val="22"/>
              </w:rPr>
            </w:pPr>
            <w:r w:rsidRPr="00731250">
              <w:rPr>
                <w:rFonts w:cs="Calibri"/>
                <w:sz w:val="22"/>
                <w:szCs w:val="22"/>
              </w:rPr>
              <w:t>4 536,50 zł</w:t>
            </w:r>
          </w:p>
        </w:tc>
        <w:tc>
          <w:tcPr>
            <w:tcW w:w="3240" w:type="dxa"/>
            <w:tcBorders>
              <w:top w:val="nil"/>
              <w:left w:val="nil"/>
              <w:bottom w:val="single" w:sz="8" w:space="0" w:color="auto"/>
              <w:right w:val="single" w:sz="8" w:space="0" w:color="auto"/>
            </w:tcBorders>
            <w:shd w:val="clear" w:color="auto" w:fill="auto"/>
            <w:noWrap/>
            <w:vAlign w:val="center"/>
            <w:hideMark/>
          </w:tcPr>
          <w:p w:rsidR="003814EA" w:rsidRPr="00731250" w:rsidRDefault="003814EA" w:rsidP="006C3186">
            <w:pPr>
              <w:spacing w:before="0" w:beforeAutospacing="0" w:after="0" w:afterAutospacing="0"/>
              <w:jc w:val="right"/>
              <w:rPr>
                <w:rFonts w:cs="Calibri"/>
                <w:sz w:val="22"/>
                <w:szCs w:val="22"/>
              </w:rPr>
            </w:pPr>
            <w:r w:rsidRPr="00731250">
              <w:rPr>
                <w:rFonts w:cs="Calibri"/>
                <w:sz w:val="22"/>
                <w:szCs w:val="22"/>
              </w:rPr>
              <w:t>8 424,90 zł</w:t>
            </w:r>
          </w:p>
        </w:tc>
      </w:tr>
      <w:tr w:rsidR="003814EA" w:rsidRPr="00731250" w:rsidTr="006C3186">
        <w:trPr>
          <w:trHeight w:val="300"/>
        </w:trPr>
        <w:tc>
          <w:tcPr>
            <w:tcW w:w="3660" w:type="dxa"/>
            <w:tcBorders>
              <w:top w:val="nil"/>
              <w:left w:val="single" w:sz="8" w:space="0" w:color="auto"/>
              <w:bottom w:val="single" w:sz="8" w:space="0" w:color="auto"/>
              <w:right w:val="single" w:sz="8" w:space="0" w:color="auto"/>
            </w:tcBorders>
            <w:shd w:val="clear" w:color="auto" w:fill="auto"/>
            <w:noWrap/>
            <w:vAlign w:val="center"/>
            <w:hideMark/>
          </w:tcPr>
          <w:p w:rsidR="003814EA" w:rsidRPr="00731250" w:rsidRDefault="003814EA" w:rsidP="006C3186">
            <w:pPr>
              <w:spacing w:before="0" w:beforeAutospacing="0" w:after="0" w:afterAutospacing="0"/>
              <w:jc w:val="left"/>
              <w:rPr>
                <w:rFonts w:cs="Calibri"/>
                <w:b/>
                <w:bCs/>
                <w:sz w:val="22"/>
                <w:szCs w:val="22"/>
              </w:rPr>
            </w:pPr>
            <w:r w:rsidRPr="00731250">
              <w:rPr>
                <w:rFonts w:cs="Calibri"/>
                <w:b/>
                <w:bCs/>
                <w:sz w:val="22"/>
                <w:szCs w:val="22"/>
              </w:rPr>
              <w:t>Graniczne kwoty przychodu dla 2022</w:t>
            </w:r>
          </w:p>
        </w:tc>
        <w:tc>
          <w:tcPr>
            <w:tcW w:w="1820" w:type="dxa"/>
            <w:tcBorders>
              <w:top w:val="nil"/>
              <w:left w:val="nil"/>
              <w:bottom w:val="single" w:sz="8" w:space="0" w:color="auto"/>
              <w:right w:val="single" w:sz="8" w:space="0" w:color="auto"/>
            </w:tcBorders>
            <w:shd w:val="clear" w:color="auto" w:fill="auto"/>
            <w:noWrap/>
            <w:vAlign w:val="center"/>
            <w:hideMark/>
          </w:tcPr>
          <w:p w:rsidR="003814EA" w:rsidRPr="00731250" w:rsidRDefault="003814EA" w:rsidP="006C3186">
            <w:pPr>
              <w:spacing w:before="0" w:beforeAutospacing="0" w:after="0" w:afterAutospacing="0"/>
              <w:jc w:val="right"/>
              <w:rPr>
                <w:rFonts w:cs="Calibri"/>
                <w:b/>
                <w:bCs/>
                <w:sz w:val="22"/>
                <w:szCs w:val="22"/>
              </w:rPr>
            </w:pPr>
            <w:r w:rsidRPr="00731250">
              <w:rPr>
                <w:rFonts w:cs="Calibri"/>
                <w:b/>
                <w:bCs/>
                <w:sz w:val="22"/>
                <w:szCs w:val="22"/>
              </w:rPr>
              <w:t>51 069,00 zł</w:t>
            </w:r>
          </w:p>
        </w:tc>
        <w:tc>
          <w:tcPr>
            <w:tcW w:w="3240" w:type="dxa"/>
            <w:tcBorders>
              <w:top w:val="nil"/>
              <w:left w:val="nil"/>
              <w:bottom w:val="single" w:sz="8" w:space="0" w:color="auto"/>
              <w:right w:val="single" w:sz="8" w:space="0" w:color="auto"/>
            </w:tcBorders>
            <w:shd w:val="clear" w:color="auto" w:fill="auto"/>
            <w:noWrap/>
            <w:vAlign w:val="center"/>
            <w:hideMark/>
          </w:tcPr>
          <w:p w:rsidR="003814EA" w:rsidRPr="00731250" w:rsidRDefault="003814EA" w:rsidP="006C3186">
            <w:pPr>
              <w:spacing w:before="0" w:beforeAutospacing="0" w:after="0" w:afterAutospacing="0"/>
              <w:jc w:val="right"/>
              <w:rPr>
                <w:rFonts w:cs="Calibri"/>
                <w:b/>
                <w:bCs/>
                <w:color w:val="auto"/>
                <w:sz w:val="22"/>
                <w:szCs w:val="22"/>
              </w:rPr>
            </w:pPr>
            <w:r w:rsidRPr="00731250">
              <w:rPr>
                <w:rFonts w:cs="Calibri"/>
                <w:b/>
                <w:bCs/>
                <w:color w:val="auto"/>
                <w:sz w:val="22"/>
                <w:szCs w:val="22"/>
              </w:rPr>
              <w:t>94 842,00 zł </w:t>
            </w:r>
          </w:p>
        </w:tc>
      </w:tr>
    </w:tbl>
    <w:p w:rsidR="003814EA" w:rsidRDefault="003814EA" w:rsidP="003814EA">
      <w:pPr>
        <w:spacing w:before="0" w:beforeAutospacing="0" w:after="0" w:afterAutospacing="0"/>
        <w:rPr>
          <w:rFonts w:asciiTheme="minorHAnsi" w:hAnsiTheme="minorHAnsi" w:cstheme="minorHAnsi"/>
          <w:b/>
          <w:szCs w:val="24"/>
        </w:rPr>
      </w:pPr>
    </w:p>
    <w:p w:rsidR="003814EA" w:rsidRDefault="003814EA" w:rsidP="003814EA">
      <w:pPr>
        <w:spacing w:before="0" w:beforeAutospacing="0" w:after="0" w:afterAutospacing="0"/>
        <w:rPr>
          <w:rFonts w:asciiTheme="minorHAnsi" w:hAnsiTheme="minorHAnsi" w:cstheme="minorHAnsi"/>
          <w:b/>
          <w:szCs w:val="24"/>
        </w:rPr>
      </w:pPr>
    </w:p>
    <w:p w:rsidR="003814EA" w:rsidRDefault="003814EA" w:rsidP="003814EA">
      <w:pPr>
        <w:spacing w:before="0" w:beforeAutospacing="0" w:after="0" w:afterAutospacing="0"/>
        <w:rPr>
          <w:rFonts w:asciiTheme="minorHAnsi" w:hAnsiTheme="minorHAnsi" w:cstheme="minorHAnsi"/>
          <w:b/>
          <w:szCs w:val="24"/>
        </w:rPr>
      </w:pPr>
    </w:p>
    <w:p w:rsidR="003814EA" w:rsidRPr="004C15AA" w:rsidRDefault="003814EA" w:rsidP="003814EA">
      <w:pPr>
        <w:pStyle w:val="Jednostka"/>
        <w:jc w:val="both"/>
        <w:rPr>
          <w:rFonts w:asciiTheme="minorHAnsi" w:hAnsiTheme="minorHAnsi" w:cstheme="minorHAnsi"/>
          <w:b/>
          <w:color w:val="auto"/>
          <w:sz w:val="24"/>
          <w:szCs w:val="24"/>
        </w:rPr>
      </w:pPr>
      <w:r w:rsidRPr="004C15AA">
        <w:rPr>
          <w:rFonts w:asciiTheme="minorHAnsi" w:hAnsiTheme="minorHAnsi" w:cstheme="minorHAnsi"/>
          <w:b/>
          <w:color w:val="auto"/>
          <w:sz w:val="24"/>
          <w:szCs w:val="24"/>
        </w:rPr>
        <w:lastRenderedPageBreak/>
        <w:t>Kto nie musi rozliczać przychodu</w:t>
      </w:r>
    </w:p>
    <w:p w:rsidR="00BE372D" w:rsidRDefault="00BE372D" w:rsidP="003814EA">
      <w:pPr>
        <w:pStyle w:val="Jednostka"/>
        <w:jc w:val="both"/>
        <w:rPr>
          <w:rFonts w:asciiTheme="minorHAnsi" w:hAnsiTheme="minorHAnsi" w:cstheme="minorHAnsi"/>
          <w:color w:val="auto"/>
          <w:sz w:val="22"/>
          <w:szCs w:val="22"/>
        </w:rPr>
      </w:pPr>
    </w:p>
    <w:p w:rsidR="003814EA" w:rsidRPr="00CC3611" w:rsidRDefault="003814EA" w:rsidP="003814EA">
      <w:pPr>
        <w:pStyle w:val="Jednostka"/>
        <w:jc w:val="both"/>
        <w:rPr>
          <w:rFonts w:asciiTheme="minorHAnsi" w:hAnsiTheme="minorHAnsi" w:cstheme="minorHAnsi"/>
          <w:color w:val="auto"/>
          <w:sz w:val="22"/>
          <w:szCs w:val="22"/>
        </w:rPr>
      </w:pPr>
      <w:r w:rsidRPr="00CC3611">
        <w:rPr>
          <w:rFonts w:asciiTheme="minorHAnsi" w:hAnsiTheme="minorHAnsi" w:cstheme="minorHAnsi"/>
          <w:color w:val="auto"/>
          <w:sz w:val="22"/>
          <w:szCs w:val="22"/>
        </w:rPr>
        <w:t xml:space="preserve">Co do zasady emeryci, którzy ukończyli powszechny wiek emerytalny wynoszący 60 lat – kobiety, 65 lat – mężczyźni mogą dorabiać bez ograniczeń i nie muszą informować ZUS o zarobkach. </w:t>
      </w:r>
      <w:r>
        <w:rPr>
          <w:rFonts w:asciiTheme="minorHAnsi" w:hAnsiTheme="minorHAnsi" w:cstheme="minorHAnsi"/>
          <w:color w:val="auto"/>
          <w:sz w:val="22"/>
          <w:szCs w:val="22"/>
        </w:rPr>
        <w:br/>
      </w:r>
      <w:r w:rsidRPr="00CC3611">
        <w:rPr>
          <w:rFonts w:asciiTheme="minorHAnsi" w:hAnsiTheme="minorHAnsi" w:cstheme="minorHAnsi"/>
          <w:color w:val="auto"/>
          <w:sz w:val="22"/>
          <w:szCs w:val="22"/>
        </w:rPr>
        <w:t xml:space="preserve">Jeśli jednak osiągnęli ten wiek w trakcie 2022 roku, to muszą rozliczyć się w ZUS z zarobków uzyskanych w miesiącach przed ukończeniem wieku emerytalnego. </w:t>
      </w:r>
    </w:p>
    <w:p w:rsidR="003814EA" w:rsidRPr="00CC3611" w:rsidRDefault="003814EA" w:rsidP="003814EA">
      <w:pPr>
        <w:pStyle w:val="Jednostka"/>
        <w:jc w:val="both"/>
        <w:rPr>
          <w:rFonts w:asciiTheme="minorHAnsi" w:hAnsiTheme="minorHAnsi" w:cstheme="minorHAnsi"/>
          <w:color w:val="auto"/>
          <w:sz w:val="22"/>
          <w:szCs w:val="22"/>
        </w:rPr>
      </w:pPr>
    </w:p>
    <w:p w:rsidR="003814EA" w:rsidRPr="00A54602" w:rsidRDefault="003814EA" w:rsidP="003814EA">
      <w:pPr>
        <w:pStyle w:val="Jednostka"/>
        <w:jc w:val="both"/>
        <w:rPr>
          <w:rFonts w:asciiTheme="minorHAnsi" w:hAnsiTheme="minorHAnsi" w:cstheme="minorHAnsi"/>
          <w:color w:val="auto"/>
          <w:sz w:val="22"/>
          <w:szCs w:val="22"/>
        </w:rPr>
      </w:pPr>
      <w:r w:rsidRPr="00A54602">
        <w:rPr>
          <w:rFonts w:asciiTheme="minorHAnsi" w:hAnsiTheme="minorHAnsi" w:cstheme="minorHAnsi"/>
          <w:color w:val="auto"/>
          <w:sz w:val="22"/>
          <w:szCs w:val="22"/>
        </w:rPr>
        <w:t xml:space="preserve">Limity w dorabianiu nie dotyczą także osób pobierających rentę rodzinną,  która kwotowo jest korzystniejsza od ustalonej emerytury z tytułu ukończenia powszechnego wieku emerytalnego. Wysokością przychodów nie muszą przejmować się także osoby, które otrzymują emeryturę częściową, rentę inwalidy wojennego, inwalidy wojskowego, których niezdolność do pracy związana jest ze służbą wojskową lub rentę rodzinną po takim inwalidzie. Informacji o zarobkach nie muszą także składać uczniowie szkół ponadpodstawowych i studenci, którzy nie ukończyli 26 lat, </w:t>
      </w:r>
      <w:r w:rsidRPr="00A54602">
        <w:rPr>
          <w:rFonts w:asciiTheme="minorHAnsi" w:hAnsiTheme="minorHAnsi" w:cstheme="minorHAnsi"/>
          <w:color w:val="auto"/>
          <w:sz w:val="22"/>
          <w:szCs w:val="22"/>
        </w:rPr>
        <w:br/>
        <w:t>a pobierają rentę rodzinną i są zatrudnieni na umowie zlecenia lub agencyjnej. Wyjątek stanowią uczniowie pobierający renty socjalne.</w:t>
      </w:r>
    </w:p>
    <w:p w:rsidR="003814EA" w:rsidRPr="004C15AA" w:rsidRDefault="003814EA" w:rsidP="003814EA">
      <w:pPr>
        <w:spacing w:before="0" w:beforeAutospacing="0" w:after="0" w:afterAutospacing="0"/>
        <w:rPr>
          <w:rFonts w:asciiTheme="minorHAnsi" w:hAnsiTheme="minorHAnsi" w:cstheme="minorHAnsi"/>
          <w:b/>
          <w:szCs w:val="24"/>
        </w:rPr>
      </w:pPr>
    </w:p>
    <w:p w:rsidR="00A824C3" w:rsidRPr="00A824C3" w:rsidRDefault="00A824C3" w:rsidP="003814EA">
      <w:pPr>
        <w:pStyle w:val="Jednostka"/>
        <w:jc w:val="both"/>
        <w:rPr>
          <w:rFonts w:asciiTheme="minorHAnsi" w:hAnsiTheme="minorHAnsi" w:cs="Helvetica"/>
          <w:szCs w:val="24"/>
        </w:rPr>
      </w:pPr>
    </w:p>
    <w:sectPr w:rsidR="00A824C3" w:rsidRPr="00A824C3">
      <w:footerReference w:type="default" r:id="rId8"/>
      <w:footerReference w:type="first" r:id="rId9"/>
      <w:pgSz w:w="11906" w:h="16838"/>
      <w:pgMar w:top="1134" w:right="1134" w:bottom="1701" w:left="1814" w:header="284" w:footer="907"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29C9" w:rsidRDefault="002F29C9">
      <w:pPr>
        <w:spacing w:before="0" w:after="0"/>
      </w:pPr>
      <w:r>
        <w:separator/>
      </w:r>
    </w:p>
  </w:endnote>
  <w:endnote w:type="continuationSeparator" w:id="0">
    <w:p w:rsidR="002F29C9" w:rsidRDefault="002F29C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78C4" w:rsidRDefault="00D36A83">
    <w:pPr>
      <w:pStyle w:val="Stopka"/>
      <w:jc w:val="center"/>
      <w:rPr>
        <w:rStyle w:val="StopkastronyZnak"/>
      </w:rPr>
    </w:pPr>
    <w:r>
      <w:rPr>
        <w:rStyle w:val="StopkastronyZnak"/>
      </w:rPr>
      <w:fldChar w:fldCharType="begin"/>
    </w:r>
    <w:r>
      <w:rPr>
        <w:rStyle w:val="StopkastronyZnak"/>
      </w:rPr>
      <w:instrText>PAGE \* MERGEFORMAT</w:instrText>
    </w:r>
    <w:r>
      <w:rPr>
        <w:rStyle w:val="StopkastronyZnak"/>
      </w:rPr>
      <w:fldChar w:fldCharType="separate"/>
    </w:r>
    <w:r w:rsidR="00280973">
      <w:rPr>
        <w:rStyle w:val="StopkastronyZnak"/>
        <w:noProof/>
      </w:rPr>
      <w:t>2</w:t>
    </w:r>
    <w:r>
      <w:rPr>
        <w:rStyle w:val="StopkastronyZnak"/>
      </w:rPr>
      <w:fldChar w:fldCharType="end"/>
    </w:r>
    <w:r>
      <w:rPr>
        <w:rStyle w:val="StopkastronyZnak"/>
      </w:rPr>
      <w:t xml:space="preserve"> / </w:t>
    </w:r>
    <w:r w:rsidR="002F29C9">
      <w:fldChar w:fldCharType="begin"/>
    </w:r>
    <w:r w:rsidR="002F29C9">
      <w:instrText xml:space="preserve"> NUMPAGES  \* MERGEFORMAT </w:instrText>
    </w:r>
    <w:r w:rsidR="002F29C9">
      <w:fldChar w:fldCharType="separate"/>
    </w:r>
    <w:r w:rsidR="00280973" w:rsidRPr="00280973">
      <w:rPr>
        <w:rStyle w:val="StopkastronyZnak"/>
        <w:noProof/>
      </w:rPr>
      <w:t>2</w:t>
    </w:r>
    <w:r w:rsidR="002F29C9">
      <w:rPr>
        <w:rStyle w:val="StopkastronyZnak"/>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78C4" w:rsidRDefault="00D36A83">
    <w:pPr>
      <w:pStyle w:val="Stopkainfo"/>
      <w:tabs>
        <w:tab w:val="center" w:pos="4536"/>
        <w:tab w:val="right" w:pos="8931"/>
      </w:tabs>
    </w:pPr>
    <w:r>
      <w:rPr>
        <w:noProof/>
      </w:rPr>
      <w:drawing>
        <wp:anchor distT="0" distB="0" distL="114300" distR="114300" simplePos="0" relativeHeight="251658240" behindDoc="0" locked="0" layoutInCell="0" allowOverlap="1" wp14:anchorId="30AC7AF7" wp14:editId="63F61D83">
          <wp:simplePos x="0" y="0"/>
          <wp:positionH relativeFrom="column">
            <wp:posOffset>12065</wp:posOffset>
          </wp:positionH>
          <wp:positionV relativeFrom="paragraph">
            <wp:posOffset>121285</wp:posOffset>
          </wp:positionV>
          <wp:extent cx="5696585" cy="15240"/>
          <wp:effectExtent l="0" t="0" r="0" b="0"/>
          <wp:wrapNone/>
          <wp:docPr id="4"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stretch>
                    <a:fillRect/>
                  </a:stretch>
                </pic:blipFill>
                <pic:spPr>
                  <a:xfrm>
                    <a:off x="0" y="0"/>
                    <a:ext cx="5696585" cy="1524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29C9" w:rsidRDefault="002F29C9">
      <w:pPr>
        <w:spacing w:before="0" w:after="0"/>
      </w:pPr>
      <w:r>
        <w:separator/>
      </w:r>
    </w:p>
  </w:footnote>
  <w:footnote w:type="continuationSeparator" w:id="0">
    <w:p w:rsidR="002F29C9" w:rsidRDefault="002F29C9">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8"/>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78C4"/>
    <w:rsid w:val="0003733C"/>
    <w:rsid w:val="00063943"/>
    <w:rsid w:val="000675D1"/>
    <w:rsid w:val="000809AD"/>
    <w:rsid w:val="000D7649"/>
    <w:rsid w:val="000E2A9E"/>
    <w:rsid w:val="001153EB"/>
    <w:rsid w:val="00151F89"/>
    <w:rsid w:val="001554E1"/>
    <w:rsid w:val="00204846"/>
    <w:rsid w:val="00280973"/>
    <w:rsid w:val="00286D95"/>
    <w:rsid w:val="002C0883"/>
    <w:rsid w:val="002C2B21"/>
    <w:rsid w:val="002F0C7F"/>
    <w:rsid w:val="002F29C9"/>
    <w:rsid w:val="00374BC5"/>
    <w:rsid w:val="003814EA"/>
    <w:rsid w:val="003D3155"/>
    <w:rsid w:val="003D799C"/>
    <w:rsid w:val="0046767C"/>
    <w:rsid w:val="00496F48"/>
    <w:rsid w:val="004A5E03"/>
    <w:rsid w:val="00592CB3"/>
    <w:rsid w:val="00595BDC"/>
    <w:rsid w:val="005E3DE3"/>
    <w:rsid w:val="005E683D"/>
    <w:rsid w:val="005F1081"/>
    <w:rsid w:val="005F7C0D"/>
    <w:rsid w:val="00604F06"/>
    <w:rsid w:val="00612656"/>
    <w:rsid w:val="00637029"/>
    <w:rsid w:val="006C0EFF"/>
    <w:rsid w:val="006E4CF3"/>
    <w:rsid w:val="006E7F68"/>
    <w:rsid w:val="00712BCC"/>
    <w:rsid w:val="00725AF5"/>
    <w:rsid w:val="007A6BEE"/>
    <w:rsid w:val="007C36C6"/>
    <w:rsid w:val="0083665B"/>
    <w:rsid w:val="00841560"/>
    <w:rsid w:val="00847040"/>
    <w:rsid w:val="0091680F"/>
    <w:rsid w:val="0096435C"/>
    <w:rsid w:val="0099205E"/>
    <w:rsid w:val="009C7269"/>
    <w:rsid w:val="009F21B1"/>
    <w:rsid w:val="009F4D40"/>
    <w:rsid w:val="00A824C3"/>
    <w:rsid w:val="00A93999"/>
    <w:rsid w:val="00AA1F4F"/>
    <w:rsid w:val="00AD7739"/>
    <w:rsid w:val="00B2109E"/>
    <w:rsid w:val="00B27706"/>
    <w:rsid w:val="00B316E3"/>
    <w:rsid w:val="00BD516C"/>
    <w:rsid w:val="00BE372D"/>
    <w:rsid w:val="00C0484C"/>
    <w:rsid w:val="00C143E6"/>
    <w:rsid w:val="00CA5BB6"/>
    <w:rsid w:val="00CC79C7"/>
    <w:rsid w:val="00D36A83"/>
    <w:rsid w:val="00D6440C"/>
    <w:rsid w:val="00D6582B"/>
    <w:rsid w:val="00D857BF"/>
    <w:rsid w:val="00D978C4"/>
    <w:rsid w:val="00DD39F2"/>
    <w:rsid w:val="00DD5656"/>
    <w:rsid w:val="00DF5B90"/>
    <w:rsid w:val="00E06176"/>
    <w:rsid w:val="00E17444"/>
    <w:rsid w:val="00E731DE"/>
    <w:rsid w:val="00E94112"/>
    <w:rsid w:val="00EB0B1D"/>
    <w:rsid w:val="00EF3EAE"/>
    <w:rsid w:val="00F00D7C"/>
    <w:rsid w:val="00F74398"/>
    <w:rsid w:val="00FE1E5F"/>
    <w:rsid w:val="00FF424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sz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pPr>
      <w:spacing w:before="100" w:beforeAutospacing="1" w:after="100" w:afterAutospacing="1" w:line="240" w:lineRule="auto"/>
      <w:jc w:val="both"/>
    </w:pPr>
    <w:rPr>
      <w:rFonts w:ascii="Calibri" w:hAnsi="Calibri"/>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pPr>
      <w:tabs>
        <w:tab w:val="center" w:pos="4536"/>
        <w:tab w:val="right" w:pos="9072"/>
      </w:tabs>
      <w:spacing w:beforeAutospacing="0" w:after="0" w:afterAutospacing="0"/>
    </w:pPr>
  </w:style>
  <w:style w:type="paragraph" w:customStyle="1" w:styleId="Stopkainfo">
    <w:name w:val="Stopka info"/>
    <w:basedOn w:val="Stopka"/>
    <w:pPr>
      <w:tabs>
        <w:tab w:val="clear" w:pos="4536"/>
        <w:tab w:val="clear" w:pos="9072"/>
        <w:tab w:val="left" w:pos="3261"/>
        <w:tab w:val="left" w:pos="6379"/>
      </w:tabs>
      <w:spacing w:before="0" w:line="276" w:lineRule="auto"/>
      <w:jc w:val="left"/>
    </w:pPr>
    <w:rPr>
      <w:color w:val="003D6E"/>
      <w:sz w:val="20"/>
    </w:rPr>
  </w:style>
  <w:style w:type="paragraph" w:customStyle="1" w:styleId="Jednostka">
    <w:name w:val="Jednostka"/>
    <w:basedOn w:val="Normalny"/>
    <w:link w:val="JednostkaZnak"/>
    <w:qFormat/>
    <w:pPr>
      <w:spacing w:before="0" w:beforeAutospacing="0" w:after="0" w:afterAutospacing="0"/>
      <w:jc w:val="left"/>
    </w:pPr>
    <w:rPr>
      <w:color w:val="003D6E"/>
      <w:sz w:val="20"/>
    </w:rPr>
  </w:style>
  <w:style w:type="character" w:styleId="Numerwiersza">
    <w:name w:val="line number"/>
    <w:basedOn w:val="Domylnaczcionkaakapitu"/>
    <w:semiHidden/>
  </w:style>
  <w:style w:type="character" w:styleId="Hipercze">
    <w:name w:val="Hyperlink"/>
    <w:rPr>
      <w:color w:val="0000FF"/>
      <w:u w:val="single"/>
    </w:rPr>
  </w:style>
  <w:style w:type="character" w:customStyle="1" w:styleId="StopkaZnak">
    <w:name w:val="Stopka Znak"/>
    <w:basedOn w:val="Domylnaczcionkaakapitu"/>
    <w:rPr>
      <w:color w:val="000000"/>
      <w:sz w:val="22"/>
    </w:rPr>
  </w:style>
  <w:style w:type="character" w:customStyle="1" w:styleId="StopkastronyZnak">
    <w:name w:val="Stopka strony Znak"/>
    <w:basedOn w:val="StopkaZnak"/>
    <w:rPr>
      <w:color w:val="003D6E"/>
      <w:sz w:val="20"/>
    </w:rPr>
  </w:style>
  <w:style w:type="table" w:styleId="Tabela-Prosty1">
    <w:name w:val="Table Simple 1"/>
    <w:basedOn w:val="Standardowy"/>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agwek">
    <w:name w:val="header"/>
    <w:basedOn w:val="Normalny"/>
    <w:link w:val="NagwekZnak"/>
    <w:uiPriority w:val="99"/>
    <w:unhideWhenUsed/>
    <w:rsid w:val="00EF3EAE"/>
    <w:pPr>
      <w:tabs>
        <w:tab w:val="center" w:pos="4536"/>
        <w:tab w:val="right" w:pos="9072"/>
      </w:tabs>
      <w:spacing w:before="0" w:after="0"/>
    </w:pPr>
  </w:style>
  <w:style w:type="character" w:customStyle="1" w:styleId="NagwekZnak">
    <w:name w:val="Nagłówek Znak"/>
    <w:basedOn w:val="Domylnaczcionkaakapitu"/>
    <w:link w:val="Nagwek"/>
    <w:uiPriority w:val="99"/>
    <w:rsid w:val="00EF3EAE"/>
    <w:rPr>
      <w:rFonts w:ascii="Calibri" w:hAnsi="Calibri"/>
      <w:sz w:val="24"/>
    </w:rPr>
  </w:style>
  <w:style w:type="table" w:styleId="Tabela-Siatka">
    <w:name w:val="Table Grid"/>
    <w:basedOn w:val="Standardowy"/>
    <w:uiPriority w:val="59"/>
    <w:rsid w:val="00F00D7C"/>
    <w:pPr>
      <w:spacing w:after="0" w:line="240" w:lineRule="auto"/>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xmsonormal">
    <w:name w:val="x_x_x_msonormal"/>
    <w:basedOn w:val="Normalny"/>
    <w:rsid w:val="00286D95"/>
    <w:pPr>
      <w:spacing w:before="0" w:beforeAutospacing="0" w:after="0" w:afterAutospacing="0"/>
      <w:jc w:val="left"/>
    </w:pPr>
    <w:rPr>
      <w:rFonts w:ascii="Times New Roman" w:eastAsiaTheme="minorHAnsi" w:hAnsi="Times New Roman"/>
      <w:color w:val="auto"/>
      <w:szCs w:val="24"/>
    </w:rPr>
  </w:style>
  <w:style w:type="paragraph" w:styleId="NormalnyWeb">
    <w:name w:val="Normal (Web)"/>
    <w:basedOn w:val="Normalny"/>
    <w:uiPriority w:val="99"/>
    <w:unhideWhenUsed/>
    <w:rsid w:val="00E731DE"/>
    <w:pPr>
      <w:jc w:val="left"/>
    </w:pPr>
    <w:rPr>
      <w:rFonts w:ascii="Times New Roman" w:eastAsiaTheme="minorHAnsi" w:hAnsi="Times New Roman"/>
      <w:color w:val="auto"/>
      <w:szCs w:val="24"/>
    </w:rPr>
  </w:style>
  <w:style w:type="character" w:customStyle="1" w:styleId="JednostkaZnak">
    <w:name w:val="Jednostka Znak"/>
    <w:link w:val="Jednostka"/>
    <w:rsid w:val="00CA5BB6"/>
    <w:rPr>
      <w:rFonts w:ascii="Calibri" w:hAnsi="Calibri"/>
      <w:color w:val="003D6E"/>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sz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pPr>
      <w:spacing w:before="100" w:beforeAutospacing="1" w:after="100" w:afterAutospacing="1" w:line="240" w:lineRule="auto"/>
      <w:jc w:val="both"/>
    </w:pPr>
    <w:rPr>
      <w:rFonts w:ascii="Calibri" w:hAnsi="Calibri"/>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pPr>
      <w:tabs>
        <w:tab w:val="center" w:pos="4536"/>
        <w:tab w:val="right" w:pos="9072"/>
      </w:tabs>
      <w:spacing w:beforeAutospacing="0" w:after="0" w:afterAutospacing="0"/>
    </w:pPr>
  </w:style>
  <w:style w:type="paragraph" w:customStyle="1" w:styleId="Stopkainfo">
    <w:name w:val="Stopka info"/>
    <w:basedOn w:val="Stopka"/>
    <w:pPr>
      <w:tabs>
        <w:tab w:val="clear" w:pos="4536"/>
        <w:tab w:val="clear" w:pos="9072"/>
        <w:tab w:val="left" w:pos="3261"/>
        <w:tab w:val="left" w:pos="6379"/>
      </w:tabs>
      <w:spacing w:before="0" w:line="276" w:lineRule="auto"/>
      <w:jc w:val="left"/>
    </w:pPr>
    <w:rPr>
      <w:color w:val="003D6E"/>
      <w:sz w:val="20"/>
    </w:rPr>
  </w:style>
  <w:style w:type="paragraph" w:customStyle="1" w:styleId="Jednostka">
    <w:name w:val="Jednostka"/>
    <w:basedOn w:val="Normalny"/>
    <w:link w:val="JednostkaZnak"/>
    <w:qFormat/>
    <w:pPr>
      <w:spacing w:before="0" w:beforeAutospacing="0" w:after="0" w:afterAutospacing="0"/>
      <w:jc w:val="left"/>
    </w:pPr>
    <w:rPr>
      <w:color w:val="003D6E"/>
      <w:sz w:val="20"/>
    </w:rPr>
  </w:style>
  <w:style w:type="character" w:styleId="Numerwiersza">
    <w:name w:val="line number"/>
    <w:basedOn w:val="Domylnaczcionkaakapitu"/>
    <w:semiHidden/>
  </w:style>
  <w:style w:type="character" w:styleId="Hipercze">
    <w:name w:val="Hyperlink"/>
    <w:rPr>
      <w:color w:val="0000FF"/>
      <w:u w:val="single"/>
    </w:rPr>
  </w:style>
  <w:style w:type="character" w:customStyle="1" w:styleId="StopkaZnak">
    <w:name w:val="Stopka Znak"/>
    <w:basedOn w:val="Domylnaczcionkaakapitu"/>
    <w:rPr>
      <w:color w:val="000000"/>
      <w:sz w:val="22"/>
    </w:rPr>
  </w:style>
  <w:style w:type="character" w:customStyle="1" w:styleId="StopkastronyZnak">
    <w:name w:val="Stopka strony Znak"/>
    <w:basedOn w:val="StopkaZnak"/>
    <w:rPr>
      <w:color w:val="003D6E"/>
      <w:sz w:val="20"/>
    </w:rPr>
  </w:style>
  <w:style w:type="table" w:styleId="Tabela-Prosty1">
    <w:name w:val="Table Simple 1"/>
    <w:basedOn w:val="Standardowy"/>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agwek">
    <w:name w:val="header"/>
    <w:basedOn w:val="Normalny"/>
    <w:link w:val="NagwekZnak"/>
    <w:uiPriority w:val="99"/>
    <w:unhideWhenUsed/>
    <w:rsid w:val="00EF3EAE"/>
    <w:pPr>
      <w:tabs>
        <w:tab w:val="center" w:pos="4536"/>
        <w:tab w:val="right" w:pos="9072"/>
      </w:tabs>
      <w:spacing w:before="0" w:after="0"/>
    </w:pPr>
  </w:style>
  <w:style w:type="character" w:customStyle="1" w:styleId="NagwekZnak">
    <w:name w:val="Nagłówek Znak"/>
    <w:basedOn w:val="Domylnaczcionkaakapitu"/>
    <w:link w:val="Nagwek"/>
    <w:uiPriority w:val="99"/>
    <w:rsid w:val="00EF3EAE"/>
    <w:rPr>
      <w:rFonts w:ascii="Calibri" w:hAnsi="Calibri"/>
      <w:sz w:val="24"/>
    </w:rPr>
  </w:style>
  <w:style w:type="table" w:styleId="Tabela-Siatka">
    <w:name w:val="Table Grid"/>
    <w:basedOn w:val="Standardowy"/>
    <w:uiPriority w:val="59"/>
    <w:rsid w:val="00F00D7C"/>
    <w:pPr>
      <w:spacing w:after="0" w:line="240" w:lineRule="auto"/>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xmsonormal">
    <w:name w:val="x_x_x_msonormal"/>
    <w:basedOn w:val="Normalny"/>
    <w:rsid w:val="00286D95"/>
    <w:pPr>
      <w:spacing w:before="0" w:beforeAutospacing="0" w:after="0" w:afterAutospacing="0"/>
      <w:jc w:val="left"/>
    </w:pPr>
    <w:rPr>
      <w:rFonts w:ascii="Times New Roman" w:eastAsiaTheme="minorHAnsi" w:hAnsi="Times New Roman"/>
      <w:color w:val="auto"/>
      <w:szCs w:val="24"/>
    </w:rPr>
  </w:style>
  <w:style w:type="paragraph" w:styleId="NormalnyWeb">
    <w:name w:val="Normal (Web)"/>
    <w:basedOn w:val="Normalny"/>
    <w:uiPriority w:val="99"/>
    <w:unhideWhenUsed/>
    <w:rsid w:val="00E731DE"/>
    <w:pPr>
      <w:jc w:val="left"/>
    </w:pPr>
    <w:rPr>
      <w:rFonts w:ascii="Times New Roman" w:eastAsiaTheme="minorHAnsi" w:hAnsi="Times New Roman"/>
      <w:color w:val="auto"/>
      <w:szCs w:val="24"/>
    </w:rPr>
  </w:style>
  <w:style w:type="character" w:customStyle="1" w:styleId="JednostkaZnak">
    <w:name w:val="Jednostka Znak"/>
    <w:link w:val="Jednostka"/>
    <w:rsid w:val="00CA5BB6"/>
    <w:rPr>
      <w:rFonts w:ascii="Calibri" w:hAnsi="Calibri"/>
      <w:color w:val="003D6E"/>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0656494">
      <w:bodyDiv w:val="1"/>
      <w:marLeft w:val="0"/>
      <w:marRight w:val="0"/>
      <w:marTop w:val="0"/>
      <w:marBottom w:val="0"/>
      <w:divBdr>
        <w:top w:val="none" w:sz="0" w:space="0" w:color="auto"/>
        <w:left w:val="none" w:sz="0" w:space="0" w:color="auto"/>
        <w:bottom w:val="none" w:sz="0" w:space="0" w:color="auto"/>
        <w:right w:val="none" w:sz="0" w:space="0" w:color="auto"/>
      </w:divBdr>
    </w:div>
    <w:div w:id="1101874769">
      <w:bodyDiv w:val="1"/>
      <w:marLeft w:val="0"/>
      <w:marRight w:val="0"/>
      <w:marTop w:val="0"/>
      <w:marBottom w:val="0"/>
      <w:divBdr>
        <w:top w:val="none" w:sz="0" w:space="0" w:color="auto"/>
        <w:left w:val="none" w:sz="0" w:space="0" w:color="auto"/>
        <w:bottom w:val="none" w:sz="0" w:space="0" w:color="auto"/>
        <w:right w:val="none" w:sz="0" w:space="0" w:color="auto"/>
      </w:divBdr>
    </w:div>
    <w:div w:id="1193574113">
      <w:bodyDiv w:val="1"/>
      <w:marLeft w:val="0"/>
      <w:marRight w:val="0"/>
      <w:marTop w:val="0"/>
      <w:marBottom w:val="0"/>
      <w:divBdr>
        <w:top w:val="none" w:sz="0" w:space="0" w:color="auto"/>
        <w:left w:val="none" w:sz="0" w:space="0" w:color="auto"/>
        <w:bottom w:val="none" w:sz="0" w:space="0" w:color="auto"/>
        <w:right w:val="none" w:sz="0" w:space="0" w:color="auto"/>
      </w:divBdr>
    </w:div>
    <w:div w:id="1607932017">
      <w:bodyDiv w:val="1"/>
      <w:marLeft w:val="0"/>
      <w:marRight w:val="0"/>
      <w:marTop w:val="0"/>
      <w:marBottom w:val="0"/>
      <w:divBdr>
        <w:top w:val="none" w:sz="0" w:space="0" w:color="auto"/>
        <w:left w:val="none" w:sz="0" w:space="0" w:color="auto"/>
        <w:bottom w:val="none" w:sz="0" w:space="0" w:color="auto"/>
        <w:right w:val="none" w:sz="0" w:space="0" w:color="auto"/>
      </w:divBdr>
    </w:div>
    <w:div w:id="1733890837">
      <w:bodyDiv w:val="1"/>
      <w:marLeft w:val="0"/>
      <w:marRight w:val="0"/>
      <w:marTop w:val="0"/>
      <w:marBottom w:val="0"/>
      <w:divBdr>
        <w:top w:val="none" w:sz="0" w:space="0" w:color="auto"/>
        <w:left w:val="none" w:sz="0" w:space="0" w:color="auto"/>
        <w:bottom w:val="none" w:sz="0" w:space="0" w:color="auto"/>
        <w:right w:val="none" w:sz="0" w:space="0" w:color="auto"/>
      </w:divBdr>
      <w:divsChild>
        <w:div w:id="1605768612">
          <w:marLeft w:val="0"/>
          <w:marRight w:val="0"/>
          <w:marTop w:val="0"/>
          <w:marBottom w:val="0"/>
          <w:divBdr>
            <w:top w:val="none" w:sz="0" w:space="0" w:color="auto"/>
            <w:left w:val="none" w:sz="0" w:space="0" w:color="auto"/>
            <w:bottom w:val="single" w:sz="6" w:space="19" w:color="E7E7E7"/>
            <w:right w:val="none" w:sz="0" w:space="0" w:color="auto"/>
          </w:divBdr>
        </w:div>
        <w:div w:id="537015252">
          <w:marLeft w:val="0"/>
          <w:marRight w:val="0"/>
          <w:marTop w:val="566"/>
          <w:marBottom w:val="686"/>
          <w:divBdr>
            <w:top w:val="none" w:sz="0" w:space="0" w:color="auto"/>
            <w:left w:val="none" w:sz="0" w:space="0" w:color="auto"/>
            <w:bottom w:val="none" w:sz="0" w:space="0" w:color="auto"/>
            <w:right w:val="none" w:sz="0" w:space="0" w:color="auto"/>
          </w:divBdr>
          <w:divsChild>
            <w:div w:id="108954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638777">
      <w:bodyDiv w:val="1"/>
      <w:marLeft w:val="0"/>
      <w:marRight w:val="0"/>
      <w:marTop w:val="0"/>
      <w:marBottom w:val="0"/>
      <w:divBdr>
        <w:top w:val="none" w:sz="0" w:space="0" w:color="auto"/>
        <w:left w:val="none" w:sz="0" w:space="0" w:color="auto"/>
        <w:bottom w:val="none" w:sz="0" w:space="0" w:color="auto"/>
        <w:right w:val="none" w:sz="0" w:space="0" w:color="auto"/>
      </w:divBdr>
    </w:div>
    <w:div w:id="18930331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497</Words>
  <Characters>2986</Characters>
  <Application>Microsoft Office Word</Application>
  <DocSecurity>0</DocSecurity>
  <Lines>24</Lines>
  <Paragraphs>6</Paragraphs>
  <ScaleCrop>false</ScaleCrop>
  <HeadingPairs>
    <vt:vector size="2" baseType="variant">
      <vt:variant>
        <vt:lpstr>Tytuł</vt:lpstr>
      </vt:variant>
      <vt:variant>
        <vt:i4>1</vt:i4>
      </vt:variant>
    </vt:vector>
  </HeadingPairs>
  <TitlesOfParts>
    <vt:vector size="1" baseType="lpstr">
      <vt:lpstr/>
    </vt:vector>
  </TitlesOfParts>
  <Company>ZUS</Company>
  <LinksUpToDate>false</LinksUpToDate>
  <CharactersWithSpaces>3477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Nowicka, Marlena</dc:creator>
  <cp:lastModifiedBy>Nowicka, Marlena</cp:lastModifiedBy>
  <cp:revision>4</cp:revision>
  <cp:lastPrinted>2023-02-21T09:39:00Z</cp:lastPrinted>
  <dcterms:created xsi:type="dcterms:W3CDTF">2023-02-21T09:23:00Z</dcterms:created>
  <dcterms:modified xsi:type="dcterms:W3CDTF">2023-02-21T09:39:00Z</dcterms:modified>
</cp:coreProperties>
</file>